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DB" w:rsidRDefault="008774ED">
      <w:r>
        <w:rPr>
          <w:noProof/>
        </w:rPr>
        <w:drawing>
          <wp:inline distT="114300" distB="114300" distL="114300" distR="114300">
            <wp:extent cx="5943600" cy="1524000"/>
            <wp:effectExtent l="0" t="0" r="0" b="0"/>
            <wp:docPr id="4" name="image7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70DB" w:rsidRDefault="008774ED">
      <w:pPr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B27049">
        <w:rPr>
          <w:b/>
          <w:sz w:val="28"/>
          <w:szCs w:val="28"/>
        </w:rPr>
        <w:t>nance report for PRABOA AGM 2018</w:t>
      </w:r>
    </w:p>
    <w:p w:rsidR="005E70DB" w:rsidRDefault="005E70DB"/>
    <w:p w:rsidR="005E70DB" w:rsidRDefault="008774ED">
      <w:r>
        <w:t>Prepared by: Andrew Watts</w:t>
      </w:r>
    </w:p>
    <w:p w:rsidR="005E70DB" w:rsidRDefault="00B27049">
      <w:r>
        <w:t>11</w:t>
      </w:r>
      <w:r w:rsidR="008774ED">
        <w:t xml:space="preserve"> </w:t>
      </w:r>
      <w:r>
        <w:t>August</w:t>
      </w:r>
      <w:r w:rsidR="008774ED">
        <w:t xml:space="preserve"> 201</w:t>
      </w:r>
      <w:r>
        <w:t>8</w:t>
      </w:r>
    </w:p>
    <w:p w:rsidR="005E70DB" w:rsidRDefault="005E70DB"/>
    <w:p w:rsidR="005E70DB" w:rsidRDefault="008774ED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Revenue</w:t>
      </w:r>
    </w:p>
    <w:p w:rsidR="005E70DB" w:rsidRDefault="005E70DB">
      <w:pPr>
        <w:rPr>
          <w:b/>
        </w:rPr>
      </w:pPr>
    </w:p>
    <w:p w:rsidR="00FD2AA4" w:rsidRDefault="00BA05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</w:rPr>
      </w:pPr>
      <w:r>
        <w:rPr>
          <w:color w:val="222222"/>
        </w:rPr>
        <w:t>Revenue increased from R1.95</w:t>
      </w:r>
      <w:r w:rsidR="008774ED">
        <w:rPr>
          <w:color w:val="222222"/>
        </w:rPr>
        <w:t>m in the prior year ending Feb 201</w:t>
      </w:r>
      <w:r>
        <w:rPr>
          <w:color w:val="222222"/>
        </w:rPr>
        <w:t>7</w:t>
      </w:r>
      <w:r w:rsidR="008774ED">
        <w:rPr>
          <w:color w:val="222222"/>
        </w:rPr>
        <w:t xml:space="preserve"> to R2</w:t>
      </w:r>
      <w:r>
        <w:rPr>
          <w:color w:val="222222"/>
        </w:rPr>
        <w:t>.1</w:t>
      </w:r>
      <w:r w:rsidR="008774ED">
        <w:rPr>
          <w:color w:val="222222"/>
        </w:rPr>
        <w:t>m for the year ending Feb 201</w:t>
      </w:r>
      <w:r>
        <w:rPr>
          <w:color w:val="222222"/>
        </w:rPr>
        <w:t>8</w:t>
      </w:r>
      <w:r w:rsidR="00FD2AA4">
        <w:rPr>
          <w:color w:val="222222"/>
        </w:rPr>
        <w:t xml:space="preserve"> which equates to a 9% increase</w:t>
      </w:r>
      <w:r w:rsidR="008774ED">
        <w:rPr>
          <w:color w:val="222222"/>
        </w:rPr>
        <w:t>. Th</w:t>
      </w:r>
      <w:r w:rsidR="00FD2AA4">
        <w:rPr>
          <w:color w:val="222222"/>
        </w:rPr>
        <w:t>is</w:t>
      </w:r>
      <w:r w:rsidR="008774ED">
        <w:rPr>
          <w:color w:val="222222"/>
        </w:rPr>
        <w:t xml:space="preserve"> increase is mainly due to </w:t>
      </w:r>
      <w:r w:rsidR="00FD2AA4">
        <w:rPr>
          <w:color w:val="222222"/>
        </w:rPr>
        <w:t>the following:</w:t>
      </w:r>
    </w:p>
    <w:p w:rsidR="00FD2AA4" w:rsidRDefault="008774ED" w:rsidP="00FD2AA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 w:rsidRPr="00FD2AA4">
        <w:rPr>
          <w:color w:val="222222"/>
        </w:rPr>
        <w:t>PRABOA members</w:t>
      </w:r>
      <w:r w:rsidR="00BA0518" w:rsidRPr="00FD2AA4">
        <w:rPr>
          <w:color w:val="222222"/>
        </w:rPr>
        <w:t xml:space="preserve">hip contributions increased by </w:t>
      </w:r>
      <w:r w:rsidR="00FD2AA4" w:rsidRPr="00FD2AA4">
        <w:rPr>
          <w:color w:val="222222"/>
        </w:rPr>
        <w:t>82%</w:t>
      </w:r>
      <w:r w:rsidR="00215CD8">
        <w:rPr>
          <w:color w:val="222222"/>
        </w:rPr>
        <w:t xml:space="preserve"> (Note below)</w:t>
      </w:r>
      <w:r w:rsidR="00FD2AA4">
        <w:rPr>
          <w:color w:val="222222"/>
        </w:rPr>
        <w:t>;</w:t>
      </w:r>
    </w:p>
    <w:p w:rsidR="00FD2AA4" w:rsidRDefault="00215CD8" w:rsidP="00FD2AA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F2018 f</w:t>
      </w:r>
      <w:r w:rsidR="00FD2AA4">
        <w:rPr>
          <w:color w:val="222222"/>
        </w:rPr>
        <w:t xml:space="preserve">ull 12 months whereby collections were done </w:t>
      </w:r>
      <w:r>
        <w:rPr>
          <w:color w:val="222222"/>
        </w:rPr>
        <w:t>via</w:t>
      </w:r>
      <w:r w:rsidR="00FD2AA4">
        <w:rPr>
          <w:color w:val="222222"/>
        </w:rPr>
        <w:t xml:space="preserve"> debit order, F2017 only accounted for 6 months of debit order transactions;</w:t>
      </w:r>
    </w:p>
    <w:p w:rsidR="00F16D94" w:rsidRDefault="00F16D94" w:rsidP="00FD2AA4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Adjusted</w:t>
      </w:r>
      <w:r w:rsidR="00215CD8">
        <w:rPr>
          <w:color w:val="222222"/>
        </w:rPr>
        <w:t xml:space="preserve"> F2017 membership contribution for full 12 months, membership contributions increased by 15%</w:t>
      </w:r>
    </w:p>
    <w:p w:rsidR="00FD2AA4" w:rsidRDefault="00BA0518" w:rsidP="00FD2AA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proofErr w:type="spellStart"/>
      <w:r w:rsidRPr="00FD2AA4">
        <w:rPr>
          <w:color w:val="222222"/>
        </w:rPr>
        <w:t>SafeParks</w:t>
      </w:r>
      <w:proofErr w:type="spellEnd"/>
      <w:r w:rsidRPr="00FD2AA4">
        <w:rPr>
          <w:color w:val="222222"/>
        </w:rPr>
        <w:t xml:space="preserve"> </w:t>
      </w:r>
      <w:r w:rsidR="00FD2AA4">
        <w:rPr>
          <w:color w:val="222222"/>
        </w:rPr>
        <w:t>contributions increased by 36%;</w:t>
      </w:r>
    </w:p>
    <w:p w:rsidR="005E70DB" w:rsidRPr="00FD2AA4" w:rsidRDefault="00FD2AA4" w:rsidP="00FD2AA4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</w:rPr>
      </w:pPr>
      <w:r>
        <w:rPr>
          <w:color w:val="222222"/>
        </w:rPr>
        <w:t>No major events held for the period.</w:t>
      </w:r>
      <w:r w:rsidR="008774ED" w:rsidRPr="00FD2AA4">
        <w:rPr>
          <w:color w:val="222222"/>
        </w:rPr>
        <w:br/>
      </w:r>
    </w:p>
    <w:p w:rsidR="005E70DB" w:rsidRDefault="00BA05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</w:rPr>
      </w:pPr>
      <w:r w:rsidRPr="00BA0518">
        <w:rPr>
          <w:noProof/>
        </w:rPr>
        <w:drawing>
          <wp:inline distT="0" distB="0" distL="0" distR="0">
            <wp:extent cx="4601210" cy="226758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518" w:rsidRDefault="00BA05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222222"/>
        </w:rPr>
      </w:pPr>
    </w:p>
    <w:p w:rsidR="00717B58" w:rsidRDefault="00717B58">
      <w:pPr>
        <w:rPr>
          <w:color w:val="222222"/>
        </w:rPr>
      </w:pPr>
      <w:r>
        <w:rPr>
          <w:color w:val="222222"/>
        </w:rPr>
        <w:br w:type="page"/>
      </w:r>
    </w:p>
    <w:p w:rsidR="005E70DB" w:rsidRDefault="008774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</w:rPr>
      </w:pPr>
      <w:r>
        <w:rPr>
          <w:b/>
        </w:rPr>
        <w:lastRenderedPageBreak/>
        <w:t>Operating Expenses</w:t>
      </w:r>
    </w:p>
    <w:p w:rsidR="005E70DB" w:rsidRDefault="005E70D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666DEC" w:rsidRDefault="008774ED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Operating expenses increased from R1.</w:t>
      </w:r>
      <w:r w:rsidR="00666DEC">
        <w:t>6</w:t>
      </w:r>
      <w:r>
        <w:t>m i</w:t>
      </w:r>
      <w:r w:rsidR="00666DEC">
        <w:t>n the prior year ending Feb 2017</w:t>
      </w:r>
      <w:r>
        <w:t xml:space="preserve"> to R1.</w:t>
      </w:r>
      <w:r w:rsidR="00666DEC">
        <w:t>7</w:t>
      </w:r>
      <w:r>
        <w:t>m for the year ending Feb 201</w:t>
      </w:r>
      <w:r w:rsidR="00666DEC">
        <w:t xml:space="preserve">8 </w:t>
      </w:r>
      <w:r w:rsidR="00666DEC">
        <w:rPr>
          <w:color w:val="222222"/>
        </w:rPr>
        <w:t>which equates to a 9% increase</w:t>
      </w:r>
      <w:r>
        <w:t xml:space="preserve">. The increase is due to the </w:t>
      </w:r>
      <w:r w:rsidR="00666DEC">
        <w:t>following:</w:t>
      </w:r>
    </w:p>
    <w:p w:rsidR="00734796" w:rsidRDefault="00666DEC" w:rsidP="0073479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O</w:t>
      </w:r>
      <w:r w:rsidR="008774ED">
        <w:t xml:space="preserve">perating expenses </w:t>
      </w:r>
      <w:r>
        <w:t>for</w:t>
      </w:r>
      <w:r w:rsidR="008774ED">
        <w:t xml:space="preserve"> </w:t>
      </w:r>
      <w:proofErr w:type="spellStart"/>
      <w:r w:rsidR="008774ED">
        <w:t>SafeParks</w:t>
      </w:r>
      <w:proofErr w:type="spellEnd"/>
      <w:r>
        <w:t xml:space="preserve"> increase</w:t>
      </w:r>
      <w:r w:rsidR="009C312E">
        <w:t>d</w:t>
      </w:r>
      <w:r>
        <w:t xml:space="preserve"> by 30%</w:t>
      </w:r>
      <w:r w:rsidR="00717B58">
        <w:t xml:space="preserve"> due to enhanced security operations</w:t>
      </w:r>
      <w:r w:rsidR="00734796">
        <w:t xml:space="preserve"> and equipment</w:t>
      </w:r>
      <w:r w:rsidR="00717B58">
        <w:t>, which were facilitated by growth in participation</w:t>
      </w:r>
      <w:r w:rsidR="00734796">
        <w:t xml:space="preserve"> also;</w:t>
      </w:r>
    </w:p>
    <w:p w:rsidR="00734796" w:rsidRDefault="00734796" w:rsidP="0073479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The new </w:t>
      </w:r>
      <w:proofErr w:type="spellStart"/>
      <w:r>
        <w:t>SafeParks</w:t>
      </w:r>
      <w:proofErr w:type="spellEnd"/>
      <w:r>
        <w:t xml:space="preserve"> scheme started Aug 2016, thus only account for 6 months;</w:t>
      </w:r>
      <w:bookmarkStart w:id="0" w:name="_GoBack"/>
      <w:bookmarkEnd w:id="0"/>
    </w:p>
    <w:p w:rsidR="005E70DB" w:rsidRDefault="00666DEC" w:rsidP="00666DEC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222222"/>
        </w:rPr>
        <w:t>No major events held for the period.</w:t>
      </w:r>
    </w:p>
    <w:p w:rsidR="005E70DB" w:rsidRDefault="005E70DB">
      <w:pPr>
        <w:pBdr>
          <w:top w:val="nil"/>
          <w:left w:val="nil"/>
          <w:bottom w:val="nil"/>
          <w:right w:val="nil"/>
          <w:between w:val="nil"/>
        </w:pBdr>
      </w:pPr>
    </w:p>
    <w:p w:rsidR="005E70DB" w:rsidRDefault="00666DEC">
      <w:pPr>
        <w:pBdr>
          <w:top w:val="nil"/>
          <w:left w:val="nil"/>
          <w:bottom w:val="nil"/>
          <w:right w:val="nil"/>
          <w:between w:val="nil"/>
        </w:pBdr>
        <w:jc w:val="center"/>
      </w:pPr>
      <w:r w:rsidRPr="00666DEC">
        <w:rPr>
          <w:noProof/>
        </w:rPr>
        <w:drawing>
          <wp:inline distT="0" distB="0" distL="0" distR="0">
            <wp:extent cx="4601210" cy="3021330"/>
            <wp:effectExtent l="0" t="0" r="889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0DB" w:rsidRDefault="005E70DB"/>
    <w:p w:rsidR="005E70DB" w:rsidRDefault="005E70DB">
      <w:pPr>
        <w:rPr>
          <w:b/>
        </w:rPr>
      </w:pPr>
    </w:p>
    <w:p w:rsidR="005E70DB" w:rsidRDefault="008774ED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Surplus/Shortage</w:t>
      </w:r>
    </w:p>
    <w:p w:rsidR="005E70DB" w:rsidRDefault="005E70DB"/>
    <w:p w:rsidR="005E70DB" w:rsidRDefault="008774ED">
      <w:pPr>
        <w:jc w:val="both"/>
      </w:pPr>
      <w:r>
        <w:t>The surplus at the end of Feb 201</w:t>
      </w:r>
      <w:r w:rsidR="00666DEC">
        <w:t>8</w:t>
      </w:r>
      <w:r>
        <w:t xml:space="preserve"> is R</w:t>
      </w:r>
      <w:r w:rsidR="00666DEC">
        <w:t>429</w:t>
      </w:r>
      <w:r>
        <w:t>k compared to the prior year of R</w:t>
      </w:r>
      <w:r w:rsidR="00666DEC">
        <w:t>397</w:t>
      </w:r>
      <w:r>
        <w:t>k. For the period ending Feb 201</w:t>
      </w:r>
      <w:r w:rsidR="0075373F">
        <w:t>8</w:t>
      </w:r>
      <w:r w:rsidRPr="0075373F">
        <w:t>, total cash and cash equivalents consist of R</w:t>
      </w:r>
      <w:r w:rsidR="0075373F" w:rsidRPr="0075373F">
        <w:t>220</w:t>
      </w:r>
      <w:r w:rsidRPr="0075373F">
        <w:t xml:space="preserve">k, </w:t>
      </w:r>
      <w:r w:rsidR="0075373F" w:rsidRPr="0075373F">
        <w:t>short term deposits</w:t>
      </w:r>
      <w:r w:rsidR="0075373F">
        <w:t xml:space="preserve"> of</w:t>
      </w:r>
      <w:r w:rsidR="0075373F" w:rsidRPr="0075373F">
        <w:t xml:space="preserve"> </w:t>
      </w:r>
      <w:r w:rsidRPr="0075373F">
        <w:t>R</w:t>
      </w:r>
      <w:r w:rsidR="0075373F" w:rsidRPr="0075373F">
        <w:t>234</w:t>
      </w:r>
      <w:r w:rsidRPr="0075373F">
        <w:t>k</w:t>
      </w:r>
      <w:r w:rsidR="0075373F">
        <w:t xml:space="preserve"> </w:t>
      </w:r>
      <w:r w:rsidR="0075373F" w:rsidRPr="0075373F">
        <w:t>and long-term deposit of R600k</w:t>
      </w:r>
      <w:r w:rsidRPr="0075373F">
        <w:t>, which totals R</w:t>
      </w:r>
      <w:r w:rsidR="0075373F" w:rsidRPr="0075373F">
        <w:t>1.054m</w:t>
      </w:r>
      <w:r w:rsidRPr="0075373F">
        <w:t xml:space="preserve">. In summary, PRABOA’s financial status is healthy. </w:t>
      </w:r>
    </w:p>
    <w:p w:rsidR="005E70DB" w:rsidRDefault="005E70DB">
      <w:pPr>
        <w:jc w:val="both"/>
      </w:pPr>
    </w:p>
    <w:p w:rsidR="005E70DB" w:rsidRDefault="00666DEC">
      <w:pPr>
        <w:jc w:val="both"/>
      </w:pPr>
      <w:r>
        <w:t>The period ending Feb 2018</w:t>
      </w:r>
      <w:r w:rsidR="008774ED">
        <w:t xml:space="preserve"> has been audited by J Theron and </w:t>
      </w:r>
      <w:proofErr w:type="spellStart"/>
      <w:r w:rsidR="008774ED">
        <w:t>Pietersen</w:t>
      </w:r>
      <w:proofErr w:type="spellEnd"/>
      <w:r w:rsidR="008774ED">
        <w:t xml:space="preserve"> Incorporated, which is available on </w:t>
      </w:r>
      <w:hyperlink r:id="rId10">
        <w:r w:rsidR="008774ED">
          <w:rPr>
            <w:color w:val="1155CC"/>
            <w:u w:val="single"/>
          </w:rPr>
          <w:t>https://parkhurstvillage.com/financials/</w:t>
        </w:r>
      </w:hyperlink>
      <w:r w:rsidR="008774ED">
        <w:t xml:space="preserve"> </w:t>
      </w:r>
    </w:p>
    <w:p w:rsidR="005E70DB" w:rsidRDefault="005E70DB">
      <w:pPr>
        <w:jc w:val="both"/>
      </w:pPr>
    </w:p>
    <w:p w:rsidR="00717B58" w:rsidRDefault="00717B58">
      <w:r>
        <w:br w:type="page"/>
      </w:r>
    </w:p>
    <w:p w:rsidR="005E70DB" w:rsidRDefault="008774ED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lastRenderedPageBreak/>
        <w:t>Current Financial Status</w:t>
      </w:r>
    </w:p>
    <w:p w:rsidR="005E70DB" w:rsidRDefault="005E70DB">
      <w:pPr>
        <w:jc w:val="both"/>
      </w:pPr>
    </w:p>
    <w:p w:rsidR="005E70DB" w:rsidRDefault="008774ED">
      <w:pPr>
        <w:jc w:val="both"/>
      </w:pPr>
      <w:r>
        <w:t xml:space="preserve">Current financial status (as of </w:t>
      </w:r>
      <w:r w:rsidR="0041232A">
        <w:t>11</w:t>
      </w:r>
      <w:r>
        <w:t xml:space="preserve"> </w:t>
      </w:r>
      <w:r w:rsidR="0041232A">
        <w:t>Aug</w:t>
      </w:r>
      <w:r>
        <w:t xml:space="preserve"> 201</w:t>
      </w:r>
      <w:r w:rsidR="0041232A">
        <w:t>8</w:t>
      </w:r>
      <w:r>
        <w:t>), cash and cash equivalents consist of R</w:t>
      </w:r>
      <w:r w:rsidR="00C465E5">
        <w:t>104</w:t>
      </w:r>
      <w:r>
        <w:t>k (current account</w:t>
      </w:r>
      <w:r w:rsidR="00C465E5">
        <w:t xml:space="preserve"> &amp; Sage Pay</w:t>
      </w:r>
      <w:r>
        <w:t>), R</w:t>
      </w:r>
      <w:r w:rsidR="0041232A">
        <w:t>1.030m</w:t>
      </w:r>
      <w:r>
        <w:t xml:space="preserve"> (short term deposits), which totals R</w:t>
      </w:r>
      <w:r w:rsidR="0041232A">
        <w:t>1.</w:t>
      </w:r>
      <w:r w:rsidR="00C465E5">
        <w:t>134</w:t>
      </w:r>
      <w:r w:rsidR="0041232A">
        <w:t xml:space="preserve">m. </w:t>
      </w:r>
      <w:r>
        <w:t xml:space="preserve">Please note the figures reported </w:t>
      </w:r>
      <w:r w:rsidR="00C465E5">
        <w:t>above are</w:t>
      </w:r>
      <w:r>
        <w:t xml:space="preserve"> unaudited. </w:t>
      </w:r>
    </w:p>
    <w:p w:rsidR="00C465E5" w:rsidRDefault="00C465E5"/>
    <w:p w:rsidR="00C465E5" w:rsidRDefault="00C465E5" w:rsidP="00C465E5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Reserves</w:t>
      </w:r>
    </w:p>
    <w:p w:rsidR="00C465E5" w:rsidRDefault="00C465E5">
      <w:pPr>
        <w:jc w:val="both"/>
      </w:pPr>
    </w:p>
    <w:p w:rsidR="00C465E5" w:rsidRPr="00C465E5" w:rsidRDefault="00C465E5">
      <w:pPr>
        <w:jc w:val="both"/>
      </w:pPr>
      <w:r w:rsidRPr="00C465E5">
        <w:t>General Reserves:</w:t>
      </w:r>
    </w:p>
    <w:p w:rsidR="00C465E5" w:rsidRPr="00C465E5" w:rsidRDefault="00C465E5" w:rsidP="00C465E5">
      <w:pPr>
        <w:pStyle w:val="ListParagraph"/>
        <w:numPr>
          <w:ilvl w:val="0"/>
          <w:numId w:val="6"/>
        </w:numPr>
        <w:jc w:val="both"/>
      </w:pPr>
      <w:r w:rsidRPr="00C465E5">
        <w:t>R100k,</w:t>
      </w:r>
      <w:r w:rsidRPr="00C465E5">
        <w:tab/>
        <w:t xml:space="preserve">Litigation Reserve (in case litigation is needed to protect </w:t>
      </w:r>
      <w:r w:rsidR="00717B58">
        <w:t xml:space="preserve">the interest of </w:t>
      </w:r>
      <w:r w:rsidRPr="00C465E5">
        <w:t>Parkhurst)</w:t>
      </w:r>
    </w:p>
    <w:p w:rsidR="00C465E5" w:rsidRPr="00C465E5" w:rsidRDefault="00717B58" w:rsidP="003812B6">
      <w:pPr>
        <w:pStyle w:val="ListParagraph"/>
        <w:numPr>
          <w:ilvl w:val="0"/>
          <w:numId w:val="6"/>
        </w:numPr>
        <w:jc w:val="both"/>
      </w:pPr>
      <w:r>
        <w:t xml:space="preserve">R75k, </w:t>
      </w:r>
      <w:r w:rsidR="00C465E5" w:rsidRPr="00C465E5">
        <w:t>Working Capital Reserve</w:t>
      </w:r>
    </w:p>
    <w:p w:rsidR="00C465E5" w:rsidRPr="00C465E5" w:rsidRDefault="00C465E5" w:rsidP="00C465E5">
      <w:pPr>
        <w:pStyle w:val="ListParagraph"/>
        <w:numPr>
          <w:ilvl w:val="0"/>
          <w:numId w:val="6"/>
        </w:numPr>
      </w:pPr>
      <w:r w:rsidRPr="00C465E5">
        <w:t>R370k,</w:t>
      </w:r>
      <w:r w:rsidRPr="00C465E5">
        <w:tab/>
        <w:t>Unallocated General Reserve</w:t>
      </w:r>
    </w:p>
    <w:p w:rsidR="00C465E5" w:rsidRPr="00C465E5" w:rsidRDefault="00C465E5" w:rsidP="00C465E5"/>
    <w:p w:rsidR="00C465E5" w:rsidRPr="00C465E5" w:rsidRDefault="00C465E5" w:rsidP="00C465E5">
      <w:r w:rsidRPr="00C465E5">
        <w:t>Safety Reserves:</w:t>
      </w:r>
    </w:p>
    <w:p w:rsidR="00C465E5" w:rsidRPr="00C465E5" w:rsidRDefault="00C465E5" w:rsidP="00C465E5">
      <w:pPr>
        <w:pStyle w:val="ListParagraph"/>
        <w:numPr>
          <w:ilvl w:val="0"/>
          <w:numId w:val="6"/>
        </w:numPr>
        <w:jc w:val="both"/>
      </w:pPr>
      <w:r w:rsidRPr="00C465E5">
        <w:t>R1</w:t>
      </w:r>
      <w:r w:rsidR="009C312E">
        <w:t>65</w:t>
      </w:r>
      <w:r w:rsidRPr="00C465E5">
        <w:t>k,</w:t>
      </w:r>
      <w:r w:rsidRPr="00C465E5">
        <w:tab/>
      </w:r>
      <w:r w:rsidR="009C312E">
        <w:t>Working Capital Re</w:t>
      </w:r>
      <w:r w:rsidRPr="00C465E5">
        <w:t>serve Fund</w:t>
      </w:r>
      <w:r w:rsidR="00717B58">
        <w:t xml:space="preserve"> (based on monthly operating cost)</w:t>
      </w:r>
    </w:p>
    <w:p w:rsidR="009C312E" w:rsidRPr="00C465E5" w:rsidRDefault="009C312E" w:rsidP="009C312E">
      <w:pPr>
        <w:pStyle w:val="ListParagraph"/>
        <w:numPr>
          <w:ilvl w:val="0"/>
          <w:numId w:val="6"/>
        </w:numPr>
        <w:jc w:val="both"/>
      </w:pPr>
      <w:r w:rsidRPr="00C465E5">
        <w:t>R</w:t>
      </w:r>
      <w:r>
        <w:t>175</w:t>
      </w:r>
      <w:r w:rsidRPr="00C465E5">
        <w:t>k,</w:t>
      </w:r>
      <w:r w:rsidRPr="00C465E5">
        <w:tab/>
      </w:r>
      <w:r>
        <w:t>Holiday Season Safety Re</w:t>
      </w:r>
      <w:r w:rsidRPr="00C465E5">
        <w:t>serve Fund</w:t>
      </w:r>
    </w:p>
    <w:p w:rsidR="005E70DB" w:rsidRPr="00C465E5" w:rsidRDefault="00C465E5" w:rsidP="00C465E5">
      <w:pPr>
        <w:pStyle w:val="ListParagraph"/>
        <w:numPr>
          <w:ilvl w:val="0"/>
          <w:numId w:val="6"/>
        </w:numPr>
        <w:jc w:val="both"/>
      </w:pPr>
      <w:r w:rsidRPr="00C465E5">
        <w:t>R</w:t>
      </w:r>
      <w:r w:rsidR="009C312E">
        <w:t>192</w:t>
      </w:r>
      <w:r>
        <w:t>k</w:t>
      </w:r>
      <w:r w:rsidRPr="00C465E5">
        <w:t>,</w:t>
      </w:r>
      <w:r w:rsidRPr="00C465E5">
        <w:tab/>
        <w:t>Unallocated Safety Reserve Fund</w:t>
      </w:r>
    </w:p>
    <w:sectPr w:rsidR="005E70DB" w:rsidRPr="00C465E5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CF" w:rsidRDefault="00306ECF">
      <w:pPr>
        <w:spacing w:line="240" w:lineRule="auto"/>
      </w:pPr>
      <w:r>
        <w:separator/>
      </w:r>
    </w:p>
  </w:endnote>
  <w:endnote w:type="continuationSeparator" w:id="0">
    <w:p w:rsidR="00306ECF" w:rsidRDefault="00306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DB" w:rsidRDefault="008774ED">
    <w:pPr>
      <w:spacing w:line="240" w:lineRule="auto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1</wp:posOffset>
          </wp:positionH>
          <wp:positionV relativeFrom="paragraph">
            <wp:posOffset>47626</wp:posOffset>
          </wp:positionV>
          <wp:extent cx="2343150" cy="942975"/>
          <wp:effectExtent l="0" t="0" r="0" b="0"/>
          <wp:wrapSquare wrapText="bothSides" distT="114300" distB="114300" distL="114300" distR="114300"/>
          <wp:docPr id="1" name="image4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.png"/>
                  <pic:cNvPicPr preferRelativeResize="0"/>
                </pic:nvPicPr>
                <pic:blipFill>
                  <a:blip r:embed="rId1"/>
                  <a:srcRect l="36103"/>
                  <a:stretch>
                    <a:fillRect/>
                  </a:stretch>
                </pic:blipFill>
                <pic:spPr>
                  <a:xfrm>
                    <a:off x="0" y="0"/>
                    <a:ext cx="234315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70DB" w:rsidRDefault="008774ED">
    <w:pPr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34796">
      <w:rPr>
        <w:noProof/>
      </w:rPr>
      <w:t>2</w:t>
    </w:r>
    <w:r>
      <w:fldChar w:fldCharType="end"/>
    </w:r>
  </w:p>
  <w:p w:rsidR="005E70DB" w:rsidRDefault="005E70DB">
    <w:pPr>
      <w:spacing w:line="240" w:lineRule="auto"/>
      <w:jc w:val="right"/>
    </w:pPr>
  </w:p>
  <w:p w:rsidR="005E70DB" w:rsidRDefault="005E70DB">
    <w:pPr>
      <w:spacing w:line="240" w:lineRule="auto"/>
      <w:jc w:val="right"/>
    </w:pPr>
  </w:p>
  <w:p w:rsidR="005E70DB" w:rsidRDefault="005E70DB">
    <w:pPr>
      <w:spacing w:line="240" w:lineRule="auto"/>
      <w:jc w:val="right"/>
    </w:pPr>
  </w:p>
  <w:p w:rsidR="005E70DB" w:rsidRDefault="005E70DB">
    <w:pPr>
      <w:spacing w:line="240" w:lineRule="auto"/>
      <w:jc w:val="right"/>
    </w:pPr>
  </w:p>
  <w:p w:rsidR="005E70DB" w:rsidRDefault="005E70DB">
    <w:pPr>
      <w:spacing w:line="240" w:lineRule="auto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DB" w:rsidRDefault="005E70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CF" w:rsidRDefault="00306ECF">
      <w:pPr>
        <w:spacing w:line="240" w:lineRule="auto"/>
      </w:pPr>
      <w:r>
        <w:separator/>
      </w:r>
    </w:p>
  </w:footnote>
  <w:footnote w:type="continuationSeparator" w:id="0">
    <w:p w:rsidR="00306ECF" w:rsidRDefault="00306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0DB" w:rsidRDefault="005E70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566"/>
    <w:multiLevelType w:val="multilevel"/>
    <w:tmpl w:val="31B2C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F2300D"/>
    <w:multiLevelType w:val="multilevel"/>
    <w:tmpl w:val="31B2CB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792212"/>
    <w:multiLevelType w:val="hybridMultilevel"/>
    <w:tmpl w:val="8D5A3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33BB"/>
    <w:multiLevelType w:val="multilevel"/>
    <w:tmpl w:val="9BEA0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8B7B35"/>
    <w:multiLevelType w:val="hybridMultilevel"/>
    <w:tmpl w:val="D4D6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038C"/>
    <w:multiLevelType w:val="hybridMultilevel"/>
    <w:tmpl w:val="60A2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0440"/>
    <w:multiLevelType w:val="multilevel"/>
    <w:tmpl w:val="75D02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70DB"/>
    <w:rsid w:val="00005AE5"/>
    <w:rsid w:val="00215CD8"/>
    <w:rsid w:val="00306ECF"/>
    <w:rsid w:val="0041232A"/>
    <w:rsid w:val="00574D53"/>
    <w:rsid w:val="005E70DB"/>
    <w:rsid w:val="00666DEC"/>
    <w:rsid w:val="00717B58"/>
    <w:rsid w:val="00734796"/>
    <w:rsid w:val="0075373F"/>
    <w:rsid w:val="008774ED"/>
    <w:rsid w:val="009C312E"/>
    <w:rsid w:val="00B27049"/>
    <w:rsid w:val="00BA0518"/>
    <w:rsid w:val="00BA3269"/>
    <w:rsid w:val="00C465E5"/>
    <w:rsid w:val="00E54D59"/>
    <w:rsid w:val="00F16D94"/>
    <w:rsid w:val="00F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C03C"/>
  <w15:docId w15:val="{23629B96-6626-437A-975B-9A8C36E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D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rkhurstvillage.com/financi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Watts</cp:lastModifiedBy>
  <cp:revision>9</cp:revision>
  <dcterms:created xsi:type="dcterms:W3CDTF">2018-08-11T06:31:00Z</dcterms:created>
  <dcterms:modified xsi:type="dcterms:W3CDTF">2018-09-18T07:28:00Z</dcterms:modified>
</cp:coreProperties>
</file>